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Самара, Проспект Кирова, 2, кор.3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(846) 211-09-10, </w:t>
      </w:r>
      <w:r>
        <w:fldChar w:fldCharType="begin"/>
      </w:r>
      <w:r>
        <w:instrText xml:space="preserve"> HYPERLINK "mailto:sam@russcvet.ru"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sam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Самара.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2FF607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1260</Words>
  <Characters>7184</Characters>
  <Lines>59</Lines>
  <Paragraphs>16</Paragraphs>
  <TotalTime>0</TotalTime>
  <ScaleCrop>false</ScaleCrop>
  <LinksUpToDate>false</LinksUpToDate>
  <CharactersWithSpaces>8428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2024-04-19T08:46:00Z</dcterms:created>
  <dc:creator>Анатолий</dc:creator>
  <cp:lastModifiedBy>WPS_1710233298</cp:lastModifiedBy>
  <cp:lastPrinted>2022-06-21T05:20:00Z</cp:lastPrinted>
  <dcterms:modified xsi:type="dcterms:W3CDTF">2024-04-22T16:45:26Z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C88C8FD5B58D4C41B9A2009FFA74CB0F_12</vt:lpwstr>
  </property>
</Properties>
</file>